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17E55" w14:textId="27AAAF5A" w:rsidR="0029440B" w:rsidRPr="00693654" w:rsidRDefault="00F20569" w:rsidP="00F20569">
      <w:pPr>
        <w:jc w:val="center"/>
        <w:rPr>
          <w:b/>
          <w:sz w:val="24"/>
          <w:szCs w:val="24"/>
        </w:rPr>
      </w:pPr>
      <w:r w:rsidRPr="00693654">
        <w:rPr>
          <w:b/>
          <w:sz w:val="24"/>
          <w:szCs w:val="24"/>
          <w:lang w:val="es"/>
        </w:rPr>
        <w:t xml:space="preserve">Las </w:t>
      </w:r>
      <w:r w:rsidR="008D296C">
        <w:rPr>
          <w:b/>
          <w:sz w:val="24"/>
          <w:szCs w:val="24"/>
          <w:lang w:val="es"/>
        </w:rPr>
        <w:t xml:space="preserve">Pólizas del </w:t>
      </w:r>
      <w:r w:rsidR="007139D4" w:rsidRPr="007139D4">
        <w:rPr>
          <w:b/>
          <w:sz w:val="24"/>
          <w:szCs w:val="24"/>
          <w:lang w:val="es-ES"/>
        </w:rPr>
        <w:t>Blink Vision Center</w:t>
      </w:r>
    </w:p>
    <w:p w14:paraId="2DE882DD" w14:textId="3E179C6F" w:rsidR="00F20569" w:rsidRPr="00FC5256" w:rsidRDefault="008D296C" w:rsidP="00F20569">
      <w:pPr>
        <w:pStyle w:val="ListParagraph"/>
        <w:numPr>
          <w:ilvl w:val="0"/>
          <w:numId w:val="1"/>
        </w:numPr>
        <w:rPr>
          <w:b/>
        </w:rPr>
      </w:pPr>
      <w:r w:rsidRPr="00FC5256">
        <w:rPr>
          <w:b/>
          <w:lang w:val="es"/>
        </w:rPr>
        <w:t>Póli</w:t>
      </w:r>
      <w:r>
        <w:rPr>
          <w:b/>
          <w:lang w:val="es"/>
        </w:rPr>
        <w:t>za</w:t>
      </w:r>
      <w:r w:rsidR="00F20569" w:rsidRPr="00FC5256">
        <w:rPr>
          <w:b/>
          <w:lang w:val="es"/>
        </w:rPr>
        <w:t xml:space="preserve"> financiera</w:t>
      </w:r>
    </w:p>
    <w:p w14:paraId="393213FC" w14:textId="7D11339D" w:rsidR="00F20569" w:rsidRDefault="0070699F" w:rsidP="00F20569">
      <w:pPr>
        <w:pStyle w:val="ListParagraph"/>
        <w:numPr>
          <w:ilvl w:val="1"/>
          <w:numId w:val="1"/>
        </w:numPr>
      </w:pPr>
      <w:r>
        <w:rPr>
          <w:lang w:val="es"/>
        </w:rPr>
        <w:t xml:space="preserve">El pago de todos los servicios profesionales se </w:t>
      </w:r>
      <w:r w:rsidR="008D296C">
        <w:rPr>
          <w:lang w:val="es"/>
        </w:rPr>
        <w:t>debe</w:t>
      </w:r>
      <w:r>
        <w:rPr>
          <w:lang w:val="es"/>
        </w:rPr>
        <w:t xml:space="preserve"> en el momento en que se proporcionan los servicios.</w:t>
      </w:r>
    </w:p>
    <w:p w14:paraId="4F305DF2" w14:textId="44454208" w:rsidR="0070699F" w:rsidRDefault="008D296C" w:rsidP="00F20569">
      <w:pPr>
        <w:pStyle w:val="ListParagraph"/>
        <w:numPr>
          <w:ilvl w:val="1"/>
          <w:numId w:val="1"/>
        </w:numPr>
      </w:pPr>
      <w:r>
        <w:rPr>
          <w:lang w:val="es"/>
        </w:rPr>
        <w:t>S</w:t>
      </w:r>
      <w:r w:rsidR="0070699F">
        <w:rPr>
          <w:lang w:val="es"/>
        </w:rPr>
        <w:t xml:space="preserve">ometemos </w:t>
      </w:r>
      <w:r>
        <w:rPr>
          <w:lang w:val="es"/>
        </w:rPr>
        <w:t>el</w:t>
      </w:r>
      <w:r w:rsidR="0070699F">
        <w:rPr>
          <w:lang w:val="es"/>
        </w:rPr>
        <w:t xml:space="preserve"> reclam</w:t>
      </w:r>
      <w:r>
        <w:rPr>
          <w:lang w:val="es"/>
        </w:rPr>
        <w:t>o</w:t>
      </w:r>
      <w:r w:rsidR="0070699F">
        <w:rPr>
          <w:lang w:val="es"/>
        </w:rPr>
        <w:t xml:space="preserve"> de seguro como cortesía </w:t>
      </w:r>
      <w:r>
        <w:rPr>
          <w:lang w:val="es"/>
        </w:rPr>
        <w:t>hacia</w:t>
      </w:r>
      <w:r w:rsidR="0070699F">
        <w:rPr>
          <w:lang w:val="es"/>
        </w:rPr>
        <w:t xml:space="preserve"> usted.  Todos los copagos y servicios no cubiertos se deben pagar en el momento de la cita.  Todos los beneficios cotizados no son una garantía de pago por parte de su compañía de seguros y la determinación final sólo se puede hacer cuando se procesa </w:t>
      </w:r>
      <w:r>
        <w:rPr>
          <w:lang w:val="es"/>
        </w:rPr>
        <w:t>el</w:t>
      </w:r>
      <w:r w:rsidR="0070699F">
        <w:rPr>
          <w:lang w:val="es"/>
        </w:rPr>
        <w:t xml:space="preserve"> reclam</w:t>
      </w:r>
      <w:r>
        <w:rPr>
          <w:lang w:val="es"/>
        </w:rPr>
        <w:t>o</w:t>
      </w:r>
      <w:r w:rsidR="0070699F">
        <w:rPr>
          <w:lang w:val="es"/>
        </w:rPr>
        <w:t>.</w:t>
      </w:r>
    </w:p>
    <w:p w14:paraId="610E0797" w14:textId="2C32EE1D" w:rsidR="0070699F" w:rsidRDefault="008D296C" w:rsidP="0070699F">
      <w:pPr>
        <w:pStyle w:val="ListParagraph"/>
        <w:numPr>
          <w:ilvl w:val="2"/>
          <w:numId w:val="1"/>
        </w:numPr>
      </w:pPr>
      <w:r>
        <w:rPr>
          <w:lang w:val="es"/>
        </w:rPr>
        <w:t>El plan de visión bajo su aseguranza solo</w:t>
      </w:r>
      <w:r w:rsidR="0015327B">
        <w:rPr>
          <w:lang w:val="es"/>
        </w:rPr>
        <w:t xml:space="preserve"> cubre </w:t>
      </w:r>
      <w:r>
        <w:rPr>
          <w:lang w:val="es"/>
        </w:rPr>
        <w:t>el</w:t>
      </w:r>
      <w:r w:rsidR="0015327B">
        <w:rPr>
          <w:lang w:val="es"/>
        </w:rPr>
        <w:t xml:space="preserve"> </w:t>
      </w:r>
      <w:r>
        <w:rPr>
          <w:lang w:val="es"/>
        </w:rPr>
        <w:t>examen</w:t>
      </w:r>
      <w:r w:rsidR="0015327B">
        <w:rPr>
          <w:lang w:val="es"/>
        </w:rPr>
        <w:t xml:space="preserve"> de</w:t>
      </w:r>
      <w:r>
        <w:rPr>
          <w:lang w:val="es"/>
        </w:rPr>
        <w:t xml:space="preserve"> rutina para</w:t>
      </w:r>
      <w:r w:rsidR="0015327B">
        <w:rPr>
          <w:lang w:val="es"/>
        </w:rPr>
        <w:t xml:space="preserve"> la vista</w:t>
      </w:r>
      <w:r>
        <w:rPr>
          <w:lang w:val="es"/>
        </w:rPr>
        <w:t xml:space="preserve"> </w:t>
      </w:r>
      <w:r w:rsidR="0015327B">
        <w:rPr>
          <w:lang w:val="es"/>
        </w:rPr>
        <w:t xml:space="preserve">junto con una porción de anteojos y/o </w:t>
      </w:r>
      <w:r>
        <w:rPr>
          <w:lang w:val="es"/>
        </w:rPr>
        <w:t>pupilentes</w:t>
      </w:r>
      <w:r w:rsidR="0015327B">
        <w:rPr>
          <w:lang w:val="es"/>
        </w:rPr>
        <w:t xml:space="preserve">.  </w:t>
      </w:r>
      <w:r>
        <w:rPr>
          <w:lang w:val="es"/>
        </w:rPr>
        <w:t xml:space="preserve">El plan </w:t>
      </w:r>
      <w:r w:rsidR="0015327B">
        <w:rPr>
          <w:lang w:val="es"/>
        </w:rPr>
        <w:t>de visión solo cubre un examen ocular</w:t>
      </w:r>
      <w:r>
        <w:rPr>
          <w:lang w:val="es"/>
        </w:rPr>
        <w:t xml:space="preserve"> de</w:t>
      </w:r>
      <w:r w:rsidR="0015327B">
        <w:rPr>
          <w:lang w:val="es"/>
        </w:rPr>
        <w:t xml:space="preserve"> rutin</w:t>
      </w:r>
      <w:r>
        <w:rPr>
          <w:lang w:val="es"/>
        </w:rPr>
        <w:t>a, n</w:t>
      </w:r>
      <w:r w:rsidR="0015327B">
        <w:rPr>
          <w:lang w:val="es"/>
        </w:rPr>
        <w:t xml:space="preserve">o cubre el diagnóstico, manejo o tratamiento de enfermedades oculares.  </w:t>
      </w:r>
    </w:p>
    <w:p w14:paraId="6D5BCB5A" w14:textId="36C5EF4D" w:rsidR="0070699F" w:rsidRDefault="0070699F" w:rsidP="0070699F">
      <w:pPr>
        <w:pStyle w:val="ListParagraph"/>
        <w:numPr>
          <w:ilvl w:val="2"/>
          <w:numId w:val="1"/>
        </w:numPr>
      </w:pPr>
      <w:r w:rsidRPr="0070699F">
        <w:rPr>
          <w:i/>
          <w:lang w:val="es"/>
        </w:rPr>
        <w:t>El seguro médico</w:t>
      </w:r>
      <w:r>
        <w:rPr>
          <w:lang w:val="es"/>
        </w:rPr>
        <w:t xml:space="preserve"> </w:t>
      </w:r>
      <w:r w:rsidR="008D296C">
        <w:rPr>
          <w:lang w:val="es"/>
        </w:rPr>
        <w:t>solo se utiliza en caso de tener</w:t>
      </w:r>
      <w:r>
        <w:rPr>
          <w:lang w:val="es"/>
        </w:rPr>
        <w:t xml:space="preserve"> algún problema de salud ocular o un problema de salud que tenga complicaciones oculares.  </w:t>
      </w:r>
    </w:p>
    <w:p w14:paraId="7FE37411" w14:textId="4C4B0B00" w:rsidR="0070699F" w:rsidRDefault="004E0B2F" w:rsidP="00F20569">
      <w:pPr>
        <w:pStyle w:val="ListParagraph"/>
        <w:numPr>
          <w:ilvl w:val="1"/>
          <w:numId w:val="1"/>
        </w:numPr>
      </w:pPr>
      <w:r>
        <w:rPr>
          <w:lang w:val="es"/>
        </w:rPr>
        <w:t xml:space="preserve">Es su responsabilidad proporcionar a </w:t>
      </w:r>
      <w:r w:rsidR="007139D4" w:rsidRPr="007139D4">
        <w:rPr>
          <w:szCs w:val="24"/>
          <w:lang w:val="es-ES"/>
        </w:rPr>
        <w:t>Blink Vision Center</w:t>
      </w:r>
      <w:r w:rsidR="007139D4" w:rsidRPr="007139D4">
        <w:rPr>
          <w:szCs w:val="24"/>
          <w:lang w:val="es-ES"/>
        </w:rPr>
        <w:t xml:space="preserve"> </w:t>
      </w:r>
      <w:r>
        <w:rPr>
          <w:lang w:val="es"/>
        </w:rPr>
        <w:t xml:space="preserve">su tarjeta de seguro actual </w:t>
      </w:r>
      <w:r w:rsidR="008D296C">
        <w:rPr>
          <w:lang w:val="es"/>
        </w:rPr>
        <w:t xml:space="preserve">antes o </w:t>
      </w:r>
      <w:r>
        <w:rPr>
          <w:lang w:val="es"/>
        </w:rPr>
        <w:t xml:space="preserve">en el momento en que se prestan los servicios.  Si proporciona información de seguro incorrecta o caducada, </w:t>
      </w:r>
      <w:r w:rsidR="008D296C">
        <w:rPr>
          <w:lang w:val="es"/>
        </w:rPr>
        <w:t xml:space="preserve">usted </w:t>
      </w:r>
      <w:r>
        <w:rPr>
          <w:lang w:val="es"/>
        </w:rPr>
        <w:t>asum</w:t>
      </w:r>
      <w:r w:rsidR="008D296C">
        <w:rPr>
          <w:lang w:val="es"/>
        </w:rPr>
        <w:t>e</w:t>
      </w:r>
      <w:r>
        <w:rPr>
          <w:lang w:val="es"/>
        </w:rPr>
        <w:t xml:space="preserve"> toda la responsabilidad financiera de todos los cargos incurridos.</w:t>
      </w:r>
    </w:p>
    <w:p w14:paraId="6F6E5FB9" w14:textId="7EBDFB4D" w:rsidR="0070699F" w:rsidRDefault="0070699F" w:rsidP="00F20569">
      <w:pPr>
        <w:pStyle w:val="ListParagraph"/>
        <w:numPr>
          <w:ilvl w:val="1"/>
          <w:numId w:val="1"/>
        </w:numPr>
      </w:pPr>
      <w:r>
        <w:rPr>
          <w:lang w:val="es"/>
        </w:rPr>
        <w:t>Algunas compañías de seguros</w:t>
      </w:r>
      <w:r w:rsidR="008D296C">
        <w:rPr>
          <w:lang w:val="es"/>
        </w:rPr>
        <w:t xml:space="preserve"> como</w:t>
      </w:r>
      <w:r>
        <w:rPr>
          <w:lang w:val="es"/>
        </w:rPr>
        <w:t xml:space="preserve"> HMO </w:t>
      </w:r>
      <w:r w:rsidR="008D296C">
        <w:rPr>
          <w:lang w:val="es"/>
        </w:rPr>
        <w:t>requieren papeleo</w:t>
      </w:r>
      <w:r>
        <w:rPr>
          <w:lang w:val="es"/>
        </w:rPr>
        <w:t xml:space="preserve"> de su médico de atención primari</w:t>
      </w:r>
      <w:r w:rsidR="008D296C">
        <w:rPr>
          <w:lang w:val="es"/>
        </w:rPr>
        <w:t xml:space="preserve">o </w:t>
      </w:r>
      <w:r>
        <w:rPr>
          <w:lang w:val="es"/>
        </w:rPr>
        <w:t xml:space="preserve">antes de </w:t>
      </w:r>
      <w:r w:rsidR="008D296C">
        <w:rPr>
          <w:lang w:val="es"/>
        </w:rPr>
        <w:t>obtener cita</w:t>
      </w:r>
      <w:r>
        <w:rPr>
          <w:lang w:val="es"/>
        </w:rPr>
        <w:t xml:space="preserve">.  Es su responsabilidad obtener una remisión válida.  Si usted no tiene una remisión, y su compañía de seguros niega </w:t>
      </w:r>
      <w:r w:rsidR="008D296C">
        <w:rPr>
          <w:lang w:val="es"/>
        </w:rPr>
        <w:t>el reclamo</w:t>
      </w:r>
      <w:r>
        <w:rPr>
          <w:lang w:val="es"/>
        </w:rPr>
        <w:t>, usted será financieramente responsable de todos los cargos incurridos.</w:t>
      </w:r>
    </w:p>
    <w:p w14:paraId="2610F06A" w14:textId="7DC0C30A" w:rsidR="00535FD2" w:rsidRDefault="008D296C" w:rsidP="00535FD2">
      <w:pPr>
        <w:pStyle w:val="ListParagraph"/>
        <w:numPr>
          <w:ilvl w:val="1"/>
          <w:numId w:val="1"/>
        </w:numPr>
      </w:pPr>
      <w:r>
        <w:rPr>
          <w:b/>
          <w:lang w:val="es"/>
        </w:rPr>
        <w:t>Repartición</w:t>
      </w:r>
      <w:r w:rsidR="00535FD2" w:rsidRPr="00535FD2">
        <w:rPr>
          <w:b/>
          <w:lang w:val="es"/>
        </w:rPr>
        <w:t xml:space="preserve"> de beneficios</w:t>
      </w:r>
      <w:r w:rsidR="00535FD2">
        <w:rPr>
          <w:lang w:val="es"/>
        </w:rPr>
        <w:t xml:space="preserve">: </w:t>
      </w:r>
      <w:r>
        <w:rPr>
          <w:lang w:val="es"/>
        </w:rPr>
        <w:t>A</w:t>
      </w:r>
      <w:r w:rsidR="00535FD2">
        <w:rPr>
          <w:lang w:val="es"/>
        </w:rPr>
        <w:t>utorizo que mis beneficio</w:t>
      </w:r>
      <w:r>
        <w:rPr>
          <w:lang w:val="es"/>
        </w:rPr>
        <w:t>s</w:t>
      </w:r>
      <w:r w:rsidR="00535FD2">
        <w:rPr>
          <w:lang w:val="es"/>
        </w:rPr>
        <w:t xml:space="preserve"> de seguro se paguen directamente a Lindsey Alexander </w:t>
      </w:r>
      <w:r>
        <w:rPr>
          <w:lang w:val="es"/>
        </w:rPr>
        <w:t>O</w:t>
      </w:r>
      <w:r w:rsidR="00535FD2">
        <w:rPr>
          <w:lang w:val="es"/>
        </w:rPr>
        <w:t>.</w:t>
      </w:r>
      <w:r>
        <w:rPr>
          <w:lang w:val="es"/>
        </w:rPr>
        <w:t>D</w:t>
      </w:r>
      <w:r w:rsidR="00535FD2">
        <w:rPr>
          <w:lang w:val="es"/>
        </w:rPr>
        <w:t xml:space="preserve">. P.A., </w:t>
      </w:r>
      <w:r>
        <w:rPr>
          <w:lang w:val="es"/>
        </w:rPr>
        <w:t>entiendo</w:t>
      </w:r>
      <w:r w:rsidR="00535FD2">
        <w:rPr>
          <w:lang w:val="es"/>
        </w:rPr>
        <w:t xml:space="preserve"> que soy responsable de pagar todos los servicios no cubiertos y autorizo la divulgación de información médica pertinente a</w:t>
      </w:r>
      <w:r>
        <w:rPr>
          <w:lang w:val="es"/>
        </w:rPr>
        <w:t xml:space="preserve"> mi</w:t>
      </w:r>
      <w:r w:rsidR="00535FD2">
        <w:rPr>
          <w:lang w:val="es"/>
        </w:rPr>
        <w:t xml:space="preserve"> seguro y/o</w:t>
      </w:r>
      <w:r>
        <w:rPr>
          <w:lang w:val="es"/>
        </w:rPr>
        <w:t xml:space="preserve"> a</w:t>
      </w:r>
      <w:r w:rsidR="00535FD2">
        <w:rPr>
          <w:lang w:val="es"/>
        </w:rPr>
        <w:t xml:space="preserve"> especialistas referidos por </w:t>
      </w:r>
      <w:r>
        <w:rPr>
          <w:lang w:val="es"/>
        </w:rPr>
        <w:t>mi doctor</w:t>
      </w:r>
      <w:r w:rsidR="00535FD2">
        <w:rPr>
          <w:lang w:val="es"/>
        </w:rPr>
        <w:t>.</w:t>
      </w:r>
    </w:p>
    <w:p w14:paraId="3089E074" w14:textId="6E3CA74D" w:rsidR="00535FD2" w:rsidRDefault="00535FD2" w:rsidP="008D296C"/>
    <w:p w14:paraId="06A76572" w14:textId="59C82D3F" w:rsidR="00535FD2" w:rsidRDefault="00535FD2" w:rsidP="00535FD2">
      <w:pPr>
        <w:pStyle w:val="ListParagraph"/>
        <w:ind w:left="1440"/>
      </w:pPr>
    </w:p>
    <w:p w14:paraId="6F7CB9FA" w14:textId="54D7C0D5" w:rsidR="00535FD2" w:rsidRDefault="00535FD2" w:rsidP="00535FD2">
      <w:pPr>
        <w:pStyle w:val="ListParagraph"/>
        <w:ind w:left="1440"/>
      </w:pPr>
      <w:r>
        <w:rPr>
          <w:lang w:val="es"/>
        </w:rPr>
        <w:t>___________________________________________</w:t>
      </w:r>
      <w:r w:rsidR="008D296C">
        <w:rPr>
          <w:lang w:val="es"/>
        </w:rPr>
        <w:t xml:space="preserve">                             ___________________________</w:t>
      </w:r>
    </w:p>
    <w:p w14:paraId="09514148" w14:textId="2C81C07B" w:rsidR="00535FD2" w:rsidRDefault="008D296C" w:rsidP="00535FD2">
      <w:pPr>
        <w:pStyle w:val="ListParagraph"/>
        <w:ind w:left="1440"/>
      </w:pPr>
      <w:r>
        <w:rPr>
          <w:lang w:val="es"/>
        </w:rPr>
        <w:t xml:space="preserve">Firma </w:t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  <w:t xml:space="preserve">        Fecha</w:t>
      </w:r>
    </w:p>
    <w:p w14:paraId="3102CCC3" w14:textId="0A99FC2E" w:rsidR="0070699F" w:rsidRDefault="0070699F" w:rsidP="0070699F">
      <w:pPr>
        <w:pStyle w:val="ListParagraph"/>
        <w:ind w:left="1440"/>
      </w:pPr>
    </w:p>
    <w:p w14:paraId="1688D175" w14:textId="36B7CE7F" w:rsidR="008D296C" w:rsidRPr="008D296C" w:rsidRDefault="00F20569" w:rsidP="0070699F">
      <w:pPr>
        <w:pStyle w:val="ListParagraph"/>
        <w:numPr>
          <w:ilvl w:val="0"/>
          <w:numId w:val="1"/>
        </w:numPr>
      </w:pPr>
      <w:r w:rsidRPr="00FC5256">
        <w:rPr>
          <w:b/>
          <w:lang w:val="es"/>
        </w:rPr>
        <w:t>Los servicios d</w:t>
      </w:r>
      <w:r w:rsidR="008D296C">
        <w:rPr>
          <w:b/>
          <w:lang w:val="es"/>
        </w:rPr>
        <w:t xml:space="preserve">e receta y las tarifas </w:t>
      </w:r>
    </w:p>
    <w:p w14:paraId="114646C6" w14:textId="2A424B2F" w:rsidR="0070699F" w:rsidRDefault="008D296C" w:rsidP="008D296C">
      <w:pPr>
        <w:pStyle w:val="ListParagraph"/>
      </w:pPr>
      <w:r>
        <w:t xml:space="preserve">La </w:t>
      </w:r>
      <w:proofErr w:type="spellStart"/>
      <w:r>
        <w:t>receta</w:t>
      </w:r>
      <w:proofErr w:type="spellEnd"/>
      <w:r>
        <w:t xml:space="preserve"> es un </w:t>
      </w:r>
      <w:proofErr w:type="spellStart"/>
      <w:r>
        <w:t>examen</w:t>
      </w:r>
      <w:proofErr w:type="spellEnd"/>
      <w:r>
        <w:t xml:space="preserve"> para </w:t>
      </w:r>
      <w:proofErr w:type="spellStart"/>
      <w:r>
        <w:t>determinar</w:t>
      </w:r>
      <w:proofErr w:type="spellEnd"/>
      <w:r>
        <w:t xml:space="preserve"> que tan bien </w:t>
      </w:r>
      <w:proofErr w:type="spellStart"/>
      <w:r>
        <w:t>su</w:t>
      </w:r>
      <w:proofErr w:type="spellEnd"/>
      <w:r>
        <w:t xml:space="preserve"> vision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correjir</w:t>
      </w:r>
      <w:proofErr w:type="spellEnd"/>
      <w:r>
        <w:t xml:space="preserve"> y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funcionando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totalidad</w:t>
      </w:r>
      <w:proofErr w:type="spellEnd"/>
      <w:r>
        <w:t xml:space="preserve">. Es una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esencial</w:t>
      </w:r>
      <w:proofErr w:type="spellEnd"/>
      <w:r>
        <w:t xml:space="preserve"> de un </w:t>
      </w:r>
      <w:proofErr w:type="spellStart"/>
      <w:r>
        <w:t>examen</w:t>
      </w:r>
      <w:proofErr w:type="spellEnd"/>
      <w:r>
        <w:t xml:space="preserve"> de </w:t>
      </w:r>
      <w:proofErr w:type="spellStart"/>
      <w:r>
        <w:t>rutina</w:t>
      </w:r>
      <w:proofErr w:type="spellEnd"/>
      <w:r>
        <w:t xml:space="preserve"> visual y </w:t>
      </w:r>
      <w:proofErr w:type="spellStart"/>
      <w:r>
        <w:t>necesario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gra</w:t>
      </w:r>
      <w:r w:rsidR="00604CE4">
        <w:t>b</w:t>
      </w:r>
      <w:r>
        <w:t>acion</w:t>
      </w:r>
      <w:proofErr w:type="spellEnd"/>
      <w:r>
        <w:t xml:space="preserve"> de </w:t>
      </w:r>
      <w:proofErr w:type="spellStart"/>
      <w:r>
        <w:t>lentes</w:t>
      </w:r>
      <w:proofErr w:type="spellEnd"/>
      <w:r>
        <w:t xml:space="preserve"> y/o pupilentes. La </w:t>
      </w:r>
      <w:proofErr w:type="spellStart"/>
      <w:r>
        <w:t>mayoria</w:t>
      </w:r>
      <w:proofErr w:type="spellEnd"/>
      <w:r>
        <w:t xml:space="preserve"> de </w:t>
      </w:r>
      <w:proofErr w:type="spellStart"/>
      <w:r>
        <w:t>seguros</w:t>
      </w:r>
      <w:proofErr w:type="spellEnd"/>
      <w:r>
        <w:t xml:space="preserve"> medicos, </w:t>
      </w:r>
      <w:proofErr w:type="spellStart"/>
      <w:r>
        <w:t>incluyendo</w:t>
      </w:r>
      <w:proofErr w:type="spellEnd"/>
      <w:r>
        <w:t xml:space="preserve"> Medicare, no </w:t>
      </w:r>
      <w:proofErr w:type="spellStart"/>
      <w:r>
        <w:t>cubren</w:t>
      </w:r>
      <w:proofErr w:type="spellEnd"/>
      <w:r>
        <w:t xml:space="preserve"> la </w:t>
      </w:r>
      <w:proofErr w:type="spellStart"/>
      <w:r>
        <w:t>receta</w:t>
      </w:r>
      <w:proofErr w:type="spellEnd"/>
      <w:r>
        <w:t xml:space="preserve"> de </w:t>
      </w:r>
      <w:proofErr w:type="spellStart"/>
      <w:r>
        <w:t>rutina</w:t>
      </w:r>
      <w:proofErr w:type="spellEnd"/>
      <w:r>
        <w:t xml:space="preserve">. El </w:t>
      </w:r>
      <w:proofErr w:type="spellStart"/>
      <w:r>
        <w:t>costo</w:t>
      </w:r>
      <w:proofErr w:type="spellEnd"/>
      <w:r>
        <w:t xml:space="preserve"> de la </w:t>
      </w:r>
      <w:proofErr w:type="spellStart"/>
      <w:r>
        <w:t>receta</w:t>
      </w:r>
      <w:proofErr w:type="spellEnd"/>
      <w:r>
        <w:t xml:space="preserve"> en</w:t>
      </w:r>
      <w:r w:rsidR="00604CE4">
        <w:t xml:space="preserve"> la </w:t>
      </w:r>
      <w:proofErr w:type="spellStart"/>
      <w:r w:rsidR="00604CE4">
        <w:t>clinica</w:t>
      </w:r>
      <w:proofErr w:type="spellEnd"/>
      <w:r>
        <w:t xml:space="preserve"> </w:t>
      </w:r>
      <w:r w:rsidR="007139D4" w:rsidRPr="007139D4">
        <w:rPr>
          <w:szCs w:val="24"/>
          <w:lang w:val="es-ES"/>
        </w:rPr>
        <w:t>Blink Vision Center</w:t>
      </w:r>
      <w:r w:rsidRPr="007139D4">
        <w:rPr>
          <w:sz w:val="20"/>
        </w:rPr>
        <w:t xml:space="preserve"> </w:t>
      </w:r>
      <w:r>
        <w:t>es $45.00.</w:t>
      </w:r>
    </w:p>
    <w:p w14:paraId="05962E17" w14:textId="77777777" w:rsidR="004E0DA0" w:rsidRPr="00FC5256" w:rsidRDefault="004E0DA0" w:rsidP="004E0DA0">
      <w:pPr>
        <w:pStyle w:val="ListParagraph"/>
        <w:rPr>
          <w:b/>
        </w:rPr>
      </w:pPr>
    </w:p>
    <w:p w14:paraId="308956ED" w14:textId="6050CB6D" w:rsidR="00F20569" w:rsidRDefault="004E0DA0" w:rsidP="004C3D3C">
      <w:pPr>
        <w:pStyle w:val="ListParagraph"/>
        <w:numPr>
          <w:ilvl w:val="0"/>
          <w:numId w:val="1"/>
        </w:numPr>
      </w:pPr>
      <w:r>
        <w:rPr>
          <w:lang w:val="es"/>
        </w:rPr>
        <w:t xml:space="preserve">Las evaluaciones de </w:t>
      </w:r>
      <w:r w:rsidR="008D296C">
        <w:rPr>
          <w:lang w:val="es"/>
        </w:rPr>
        <w:t>pupilentes</w:t>
      </w:r>
      <w:r>
        <w:rPr>
          <w:lang w:val="es"/>
        </w:rPr>
        <w:t xml:space="preserve"> requieren procedimientos y cargos adicionales que no forman parte de un examen ocular </w:t>
      </w:r>
      <w:r w:rsidR="008D296C">
        <w:rPr>
          <w:lang w:val="es"/>
        </w:rPr>
        <w:t>de rutina</w:t>
      </w:r>
      <w:r>
        <w:rPr>
          <w:lang w:val="es"/>
        </w:rPr>
        <w:t xml:space="preserve">.  Una evaluación de </w:t>
      </w:r>
      <w:r w:rsidR="008D296C">
        <w:rPr>
          <w:lang w:val="es"/>
        </w:rPr>
        <w:t>pupilentes</w:t>
      </w:r>
      <w:r>
        <w:rPr>
          <w:lang w:val="es"/>
        </w:rPr>
        <w:t xml:space="preserve"> incluye </w:t>
      </w:r>
      <w:r w:rsidR="008D296C">
        <w:rPr>
          <w:lang w:val="es"/>
        </w:rPr>
        <w:t>un cargo</w:t>
      </w:r>
      <w:r>
        <w:rPr>
          <w:lang w:val="es"/>
        </w:rPr>
        <w:t xml:space="preserve"> inicial, </w:t>
      </w:r>
      <w:r w:rsidR="008D296C">
        <w:rPr>
          <w:lang w:val="es"/>
        </w:rPr>
        <w:t>pupilentes</w:t>
      </w:r>
      <w:r>
        <w:rPr>
          <w:lang w:val="es"/>
        </w:rPr>
        <w:t xml:space="preserve"> de prueba y </w:t>
      </w:r>
      <w:r w:rsidR="008D296C">
        <w:rPr>
          <w:lang w:val="es"/>
        </w:rPr>
        <w:t xml:space="preserve">tambien </w:t>
      </w:r>
      <w:r>
        <w:rPr>
          <w:lang w:val="es"/>
        </w:rPr>
        <w:t xml:space="preserve">atención de seguimiento durante un mes.  </w:t>
      </w:r>
      <w:r w:rsidR="004C3D3C">
        <w:rPr>
          <w:lang w:val="es"/>
        </w:rPr>
        <w:t>Cualquier visita después de eso incurrirá en un cargo adicional.</w:t>
      </w:r>
      <w:r w:rsidR="008D296C">
        <w:rPr>
          <w:lang w:val="es"/>
        </w:rPr>
        <w:t xml:space="preserve"> </w:t>
      </w:r>
      <w:r w:rsidR="00FC5256">
        <w:rPr>
          <w:lang w:val="es"/>
        </w:rPr>
        <w:t xml:space="preserve">Los servicios profesionales o los </w:t>
      </w:r>
      <w:r w:rsidR="008D296C">
        <w:rPr>
          <w:lang w:val="es"/>
        </w:rPr>
        <w:t xml:space="preserve">pupilentes </w:t>
      </w:r>
      <w:r w:rsidR="00FC5256">
        <w:rPr>
          <w:lang w:val="es"/>
        </w:rPr>
        <w:t>comprados en otro lugar no son reembolsables independientemente de</w:t>
      </w:r>
      <w:r w:rsidR="008D296C">
        <w:rPr>
          <w:lang w:val="es"/>
        </w:rPr>
        <w:t xml:space="preserve"> que el</w:t>
      </w:r>
      <w:r w:rsidR="00FC5256">
        <w:rPr>
          <w:lang w:val="es"/>
        </w:rPr>
        <w:t xml:space="preserve"> ajuste</w:t>
      </w:r>
      <w:r w:rsidR="008D296C">
        <w:rPr>
          <w:lang w:val="es"/>
        </w:rPr>
        <w:t xml:space="preserve"> allá sido</w:t>
      </w:r>
      <w:r w:rsidR="00FC5256">
        <w:rPr>
          <w:lang w:val="es"/>
        </w:rPr>
        <w:t xml:space="preserve"> exitoso.  L</w:t>
      </w:r>
      <w:r w:rsidR="008D296C">
        <w:rPr>
          <w:lang w:val="es"/>
        </w:rPr>
        <w:t xml:space="preserve">os pupilentes </w:t>
      </w:r>
      <w:r w:rsidR="00FC5256">
        <w:rPr>
          <w:lang w:val="es"/>
        </w:rPr>
        <w:t>sin abrir, no caducad</w:t>
      </w:r>
      <w:r w:rsidR="008D296C">
        <w:rPr>
          <w:lang w:val="es"/>
        </w:rPr>
        <w:t>o</w:t>
      </w:r>
      <w:r w:rsidR="00FC5256">
        <w:rPr>
          <w:lang w:val="es"/>
        </w:rPr>
        <w:t>s y</w:t>
      </w:r>
      <w:r w:rsidR="008D296C">
        <w:rPr>
          <w:lang w:val="es"/>
        </w:rPr>
        <w:t>/o</w:t>
      </w:r>
      <w:r w:rsidR="00FC5256">
        <w:rPr>
          <w:lang w:val="es"/>
        </w:rPr>
        <w:t xml:space="preserve"> sin marca</w:t>
      </w:r>
      <w:r w:rsidR="008D296C">
        <w:rPr>
          <w:lang w:val="es"/>
        </w:rPr>
        <w:t xml:space="preserve">s </w:t>
      </w:r>
      <w:r w:rsidR="00FC5256">
        <w:rPr>
          <w:lang w:val="es"/>
        </w:rPr>
        <w:t xml:space="preserve">pueden devolverse </w:t>
      </w:r>
      <w:r w:rsidR="008D296C">
        <w:rPr>
          <w:lang w:val="es"/>
        </w:rPr>
        <w:t>y ser acreditados</w:t>
      </w:r>
      <w:r w:rsidR="00FC5256">
        <w:rPr>
          <w:lang w:val="es"/>
        </w:rPr>
        <w:t xml:space="preserve"> o intercambia</w:t>
      </w:r>
      <w:r w:rsidR="008D296C">
        <w:rPr>
          <w:lang w:val="es"/>
        </w:rPr>
        <w:t>dos</w:t>
      </w:r>
      <w:r w:rsidR="00FC5256">
        <w:rPr>
          <w:lang w:val="es"/>
        </w:rPr>
        <w:t xml:space="preserve"> si la compra</w:t>
      </w:r>
      <w:r w:rsidR="008D296C">
        <w:rPr>
          <w:lang w:val="es"/>
        </w:rPr>
        <w:t xml:space="preserve"> fue hecha</w:t>
      </w:r>
      <w:r w:rsidR="00FC5256">
        <w:rPr>
          <w:lang w:val="es"/>
        </w:rPr>
        <w:t xml:space="preserve"> en</w:t>
      </w:r>
      <w:r w:rsidR="008D296C">
        <w:rPr>
          <w:lang w:val="es"/>
        </w:rPr>
        <w:t xml:space="preserve"> </w:t>
      </w:r>
      <w:r w:rsidR="00604CE4">
        <w:rPr>
          <w:lang w:val="es"/>
        </w:rPr>
        <w:t xml:space="preserve">la clinica </w:t>
      </w:r>
      <w:r w:rsidR="007139D4" w:rsidRPr="007139D4">
        <w:rPr>
          <w:szCs w:val="24"/>
          <w:lang w:val="es-ES"/>
        </w:rPr>
        <w:t>Blink Vision Center</w:t>
      </w:r>
      <w:r w:rsidR="00FC5256">
        <w:rPr>
          <w:lang w:val="es"/>
        </w:rPr>
        <w:t>.</w:t>
      </w:r>
    </w:p>
    <w:p w14:paraId="6DCD59FC" w14:textId="77777777" w:rsidR="00FC5256" w:rsidRDefault="00FC5256" w:rsidP="00FC5256">
      <w:pPr>
        <w:pStyle w:val="ListParagraph"/>
      </w:pPr>
    </w:p>
    <w:p w14:paraId="434DCD21" w14:textId="641570A7" w:rsidR="00FC5256" w:rsidRPr="00FC5256" w:rsidRDefault="008D296C" w:rsidP="00FC5256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lang w:val="es"/>
        </w:rPr>
        <w:t>Póliza</w:t>
      </w:r>
      <w:r w:rsidR="00FC5256">
        <w:rPr>
          <w:b/>
          <w:lang w:val="es"/>
        </w:rPr>
        <w:t xml:space="preserve"> de </w:t>
      </w:r>
      <w:r>
        <w:rPr>
          <w:b/>
          <w:lang w:val="es"/>
        </w:rPr>
        <w:t>anteojos</w:t>
      </w:r>
    </w:p>
    <w:p w14:paraId="1AC353D1" w14:textId="0ED9FB88" w:rsidR="00FC5256" w:rsidRDefault="003A25DF" w:rsidP="00FC5256">
      <w:pPr>
        <w:pStyle w:val="ListParagraph"/>
        <w:numPr>
          <w:ilvl w:val="1"/>
          <w:numId w:val="1"/>
        </w:numPr>
      </w:pPr>
      <w:r>
        <w:rPr>
          <w:lang w:val="es"/>
        </w:rPr>
        <w:t>Requerimos un depósito del 50% en todos los pedidos.  El saldo debe pagarse antes de que se dispense</w:t>
      </w:r>
      <w:r w:rsidR="008D296C">
        <w:rPr>
          <w:lang w:val="es"/>
        </w:rPr>
        <w:t>n los anteojos</w:t>
      </w:r>
      <w:r>
        <w:rPr>
          <w:lang w:val="es"/>
        </w:rPr>
        <w:t>.  Los anteojos recetados y l</w:t>
      </w:r>
      <w:r w:rsidR="008D296C">
        <w:rPr>
          <w:lang w:val="es"/>
        </w:rPr>
        <w:t>os pupilentes</w:t>
      </w:r>
      <w:r>
        <w:rPr>
          <w:lang w:val="es"/>
        </w:rPr>
        <w:t xml:space="preserve"> son artículos de pedido especial y</w:t>
      </w:r>
      <w:r w:rsidR="008D296C">
        <w:rPr>
          <w:lang w:val="es"/>
        </w:rPr>
        <w:t xml:space="preserve"> </w:t>
      </w:r>
      <w:r>
        <w:rPr>
          <w:lang w:val="es"/>
        </w:rPr>
        <w:t xml:space="preserve">una vez ordenados, no se pueden cancelar.  Nuestro personal de oficina hará todo lo que podamos para asegurarnos de que esté satisfecho con sus </w:t>
      </w:r>
      <w:r w:rsidR="008D296C">
        <w:rPr>
          <w:lang w:val="es"/>
        </w:rPr>
        <w:t>anteojos;</w:t>
      </w:r>
      <w:r w:rsidR="009E6F43">
        <w:rPr>
          <w:lang w:val="es"/>
        </w:rPr>
        <w:t xml:space="preserve"> sin embargo, debido al tiempo involucrado y la naturaleza personalizada de sus nuevas gafas, todas las ventas son finales.  Si </w:t>
      </w:r>
      <w:r>
        <w:rPr>
          <w:lang w:val="es"/>
        </w:rPr>
        <w:t xml:space="preserve">usted tiene alguna </w:t>
      </w:r>
      <w:r>
        <w:rPr>
          <w:lang w:val="es"/>
        </w:rPr>
        <w:lastRenderedPageBreak/>
        <w:t xml:space="preserve">inquietud con sus nuevas gafas, por favor póngase en contacto con nuestra oficina </w:t>
      </w:r>
      <w:r w:rsidR="008D296C">
        <w:rPr>
          <w:lang w:val="es"/>
        </w:rPr>
        <w:t>antes</w:t>
      </w:r>
      <w:r>
        <w:rPr>
          <w:lang w:val="es"/>
        </w:rPr>
        <w:t xml:space="preserve"> de </w:t>
      </w:r>
      <w:r w:rsidR="008D296C">
        <w:rPr>
          <w:lang w:val="es"/>
        </w:rPr>
        <w:t xml:space="preserve">los </w:t>
      </w:r>
      <w:r>
        <w:rPr>
          <w:lang w:val="es"/>
        </w:rPr>
        <w:t>45 días</w:t>
      </w:r>
      <w:r w:rsidR="008D296C">
        <w:rPr>
          <w:lang w:val="es"/>
        </w:rPr>
        <w:t xml:space="preserve"> después de ordenar</w:t>
      </w:r>
      <w:r>
        <w:rPr>
          <w:lang w:val="es"/>
        </w:rPr>
        <w:t>.</w:t>
      </w:r>
    </w:p>
    <w:p w14:paraId="2CCE83FD" w14:textId="66F813A3" w:rsidR="00FC5256" w:rsidRDefault="008D296C" w:rsidP="00FC5256">
      <w:pPr>
        <w:pStyle w:val="ListParagraph"/>
        <w:numPr>
          <w:ilvl w:val="1"/>
          <w:numId w:val="1"/>
        </w:numPr>
      </w:pPr>
      <w:r>
        <w:rPr>
          <w:lang w:val="es"/>
        </w:rPr>
        <w:t>Armazón</w:t>
      </w:r>
      <w:r w:rsidR="00FC5256">
        <w:rPr>
          <w:lang w:val="es"/>
        </w:rPr>
        <w:t xml:space="preserve"> – si su marco se rompe bajo condiciones normales de uso, nosotros lo repararemos o </w:t>
      </w:r>
      <w:r>
        <w:rPr>
          <w:lang w:val="es"/>
        </w:rPr>
        <w:t>lo sustituimos</w:t>
      </w:r>
      <w:r w:rsidR="00FC5256">
        <w:rPr>
          <w:lang w:val="es"/>
        </w:rPr>
        <w:t xml:space="preserve"> de forma gratuita</w:t>
      </w:r>
      <w:r w:rsidR="00D0437D" w:rsidRPr="00D0437D">
        <w:rPr>
          <w:i/>
          <w:lang w:val="es"/>
        </w:rPr>
        <w:t xml:space="preserve"> una sola vez</w:t>
      </w:r>
      <w:r w:rsidR="00FC5256">
        <w:rPr>
          <w:lang w:val="es"/>
        </w:rPr>
        <w:t xml:space="preserve"> durante </w:t>
      </w:r>
      <w:r w:rsidR="00FC5256" w:rsidRPr="00D0437D">
        <w:rPr>
          <w:i/>
          <w:lang w:val="es"/>
        </w:rPr>
        <w:t>un año a partir de la fecha de compra</w:t>
      </w:r>
      <w:r>
        <w:rPr>
          <w:i/>
          <w:lang w:val="es"/>
        </w:rPr>
        <w:t xml:space="preserve"> si este tiene garantía</w:t>
      </w:r>
      <w:r w:rsidR="00D0437D">
        <w:rPr>
          <w:lang w:val="es"/>
        </w:rPr>
        <w:t xml:space="preserve">.  Todas las piezas deben ser contabilizadas y por favor no use pegamento para intentar repararlas usted mismo.  * * El uso de pegamento anulará la garantía. * * no cubrimos pérdidas, robos o abusos.  </w:t>
      </w:r>
    </w:p>
    <w:p w14:paraId="100862BA" w14:textId="6175D92E" w:rsidR="00FC5256" w:rsidRDefault="008D296C" w:rsidP="00FC5256">
      <w:pPr>
        <w:pStyle w:val="ListParagraph"/>
        <w:numPr>
          <w:ilvl w:val="1"/>
          <w:numId w:val="1"/>
        </w:numPr>
      </w:pPr>
      <w:r>
        <w:rPr>
          <w:lang w:val="es"/>
        </w:rPr>
        <w:t>El l</w:t>
      </w:r>
      <w:r w:rsidR="00D0437D">
        <w:rPr>
          <w:lang w:val="es"/>
        </w:rPr>
        <w:t xml:space="preserve">ente: nuestros tratamientos de </w:t>
      </w:r>
      <w:r>
        <w:rPr>
          <w:lang w:val="es"/>
        </w:rPr>
        <w:t xml:space="preserve">el </w:t>
      </w:r>
      <w:r w:rsidR="00D0437D">
        <w:rPr>
          <w:lang w:val="es"/>
        </w:rPr>
        <w:t xml:space="preserve">lente proporcionan la protección superficial más fiable y duradera disponible.  Sin embargo, cualquier lente </w:t>
      </w:r>
      <w:r>
        <w:rPr>
          <w:lang w:val="es"/>
        </w:rPr>
        <w:t xml:space="preserve">se </w:t>
      </w:r>
      <w:r w:rsidR="00D0437D">
        <w:rPr>
          <w:lang w:val="es"/>
        </w:rPr>
        <w:t xml:space="preserve">puede arañar o romper.  </w:t>
      </w:r>
      <w:r>
        <w:rPr>
          <w:lang w:val="es"/>
        </w:rPr>
        <w:t>Si obtiene</w:t>
      </w:r>
      <w:r w:rsidR="003A25DF">
        <w:rPr>
          <w:lang w:val="es"/>
        </w:rPr>
        <w:t xml:space="preserve"> nuestra garantía, su lente</w:t>
      </w:r>
      <w:r>
        <w:rPr>
          <w:lang w:val="es"/>
        </w:rPr>
        <w:t xml:space="preserve"> </w:t>
      </w:r>
      <w:r w:rsidR="003A25DF">
        <w:rPr>
          <w:lang w:val="es"/>
        </w:rPr>
        <w:t>pueden ser reemplazad</w:t>
      </w:r>
      <w:r>
        <w:rPr>
          <w:lang w:val="es"/>
        </w:rPr>
        <w:t>o</w:t>
      </w:r>
      <w:r w:rsidR="003A25DF">
        <w:rPr>
          <w:lang w:val="es"/>
        </w:rPr>
        <w:t xml:space="preserve"> debido a arañazos o defect</w:t>
      </w:r>
      <w:r>
        <w:rPr>
          <w:lang w:val="es"/>
        </w:rPr>
        <w:t>os</w:t>
      </w:r>
      <w:r w:rsidR="003A25DF">
        <w:rPr>
          <w:lang w:val="es"/>
        </w:rPr>
        <w:t xml:space="preserve"> una vez dentro </w:t>
      </w:r>
      <w:r>
        <w:rPr>
          <w:lang w:val="es"/>
        </w:rPr>
        <w:t>del</w:t>
      </w:r>
      <w:r w:rsidR="003A25DF">
        <w:rPr>
          <w:lang w:val="es"/>
        </w:rPr>
        <w:t xml:space="preserve"> año de la compra.  El reemplazo de </w:t>
      </w:r>
      <w:r>
        <w:rPr>
          <w:lang w:val="es"/>
        </w:rPr>
        <w:t>el</w:t>
      </w:r>
      <w:r w:rsidR="003A25DF">
        <w:rPr>
          <w:lang w:val="es"/>
        </w:rPr>
        <w:t xml:space="preserve"> lente debe ser</w:t>
      </w:r>
      <w:r>
        <w:rPr>
          <w:lang w:val="es"/>
        </w:rPr>
        <w:t xml:space="preserve"> de la</w:t>
      </w:r>
      <w:r w:rsidR="003A25DF">
        <w:rPr>
          <w:lang w:val="es"/>
        </w:rPr>
        <w:t xml:space="preserve"> </w:t>
      </w:r>
      <w:r>
        <w:rPr>
          <w:lang w:val="es"/>
        </w:rPr>
        <w:t>gra</w:t>
      </w:r>
      <w:r w:rsidR="0024591F">
        <w:rPr>
          <w:lang w:val="es"/>
        </w:rPr>
        <w:t>b</w:t>
      </w:r>
      <w:bookmarkStart w:id="0" w:name="_GoBack"/>
      <w:bookmarkEnd w:id="0"/>
      <w:r>
        <w:rPr>
          <w:lang w:val="es"/>
        </w:rPr>
        <w:t>ación</w:t>
      </w:r>
      <w:r w:rsidR="003A25DF">
        <w:rPr>
          <w:lang w:val="es"/>
        </w:rPr>
        <w:t xml:space="preserve"> original y debe entregar el par defectuoso.  </w:t>
      </w:r>
    </w:p>
    <w:p w14:paraId="6771E882" w14:textId="0B630044" w:rsidR="003A25DF" w:rsidRDefault="004E0B2F" w:rsidP="003A25DF">
      <w:pPr>
        <w:pStyle w:val="ListParagraph"/>
        <w:numPr>
          <w:ilvl w:val="1"/>
          <w:numId w:val="1"/>
        </w:numPr>
      </w:pPr>
      <w:r>
        <w:rPr>
          <w:lang w:val="es"/>
        </w:rPr>
        <w:t>Proporcionar</w:t>
      </w:r>
      <w:r w:rsidR="008D296C">
        <w:rPr>
          <w:lang w:val="es"/>
        </w:rPr>
        <w:t xml:space="preserve"> el </w:t>
      </w:r>
      <w:r>
        <w:rPr>
          <w:lang w:val="es"/>
        </w:rPr>
        <w:t>us</w:t>
      </w:r>
      <w:r w:rsidR="008D296C">
        <w:rPr>
          <w:lang w:val="es"/>
        </w:rPr>
        <w:t>o de su</w:t>
      </w:r>
      <w:r>
        <w:rPr>
          <w:lang w:val="es"/>
        </w:rPr>
        <w:t xml:space="preserve"> propio</w:t>
      </w:r>
      <w:r w:rsidR="008D296C">
        <w:rPr>
          <w:lang w:val="es"/>
        </w:rPr>
        <w:t xml:space="preserve"> armazón</w:t>
      </w:r>
      <w:r>
        <w:rPr>
          <w:lang w:val="es"/>
        </w:rPr>
        <w:t>-</w:t>
      </w:r>
      <w:r w:rsidR="008D296C">
        <w:rPr>
          <w:lang w:val="es"/>
        </w:rPr>
        <w:t xml:space="preserve"> </w:t>
      </w:r>
      <w:r>
        <w:rPr>
          <w:lang w:val="es"/>
        </w:rPr>
        <w:t xml:space="preserve">estaremos encantados de hacer </w:t>
      </w:r>
      <w:r w:rsidR="008D296C">
        <w:rPr>
          <w:lang w:val="es"/>
        </w:rPr>
        <w:t>el lente con su gra</w:t>
      </w:r>
      <w:r w:rsidR="0024591F">
        <w:rPr>
          <w:lang w:val="es"/>
        </w:rPr>
        <w:t>ba</w:t>
      </w:r>
      <w:r w:rsidR="008D296C">
        <w:rPr>
          <w:lang w:val="es"/>
        </w:rPr>
        <w:t>ción</w:t>
      </w:r>
      <w:r>
        <w:rPr>
          <w:lang w:val="es"/>
        </w:rPr>
        <w:t xml:space="preserve"> si usted elige traer </w:t>
      </w:r>
      <w:r w:rsidR="008D296C">
        <w:rPr>
          <w:lang w:val="es"/>
        </w:rPr>
        <w:t>su propio armazón</w:t>
      </w:r>
      <w:r>
        <w:rPr>
          <w:lang w:val="es"/>
        </w:rPr>
        <w:t xml:space="preserve">.  Debido a la historia desconocida del </w:t>
      </w:r>
      <w:r w:rsidR="008D296C">
        <w:rPr>
          <w:lang w:val="es"/>
        </w:rPr>
        <w:t>armazón</w:t>
      </w:r>
      <w:r>
        <w:rPr>
          <w:lang w:val="es"/>
        </w:rPr>
        <w:t xml:space="preserve">, </w:t>
      </w:r>
      <w:r w:rsidR="007139D4" w:rsidRPr="007139D4">
        <w:rPr>
          <w:szCs w:val="24"/>
          <w:lang w:val="es-ES"/>
        </w:rPr>
        <w:t>Blink Vision Center</w:t>
      </w:r>
      <w:r w:rsidR="007139D4">
        <w:rPr>
          <w:sz w:val="24"/>
          <w:szCs w:val="24"/>
          <w:lang w:val="es-ES"/>
        </w:rPr>
        <w:t xml:space="preserve"> </w:t>
      </w:r>
      <w:r>
        <w:rPr>
          <w:lang w:val="es"/>
        </w:rPr>
        <w:t xml:space="preserve">no es responsable de los daños que puedan ocurrir durante el envío o la inserción de </w:t>
      </w:r>
      <w:r w:rsidR="008D296C">
        <w:rPr>
          <w:lang w:val="es"/>
        </w:rPr>
        <w:t>el</w:t>
      </w:r>
      <w:r>
        <w:rPr>
          <w:lang w:val="es"/>
        </w:rPr>
        <w:t xml:space="preserve"> lente. </w:t>
      </w:r>
      <w:r w:rsidR="007139D4" w:rsidRPr="007139D4">
        <w:rPr>
          <w:szCs w:val="24"/>
          <w:lang w:val="es-ES"/>
        </w:rPr>
        <w:t>Blink Vision Center</w:t>
      </w:r>
      <w:r w:rsidR="007139D4">
        <w:rPr>
          <w:sz w:val="24"/>
          <w:szCs w:val="24"/>
          <w:lang w:val="es-ES"/>
        </w:rPr>
        <w:t xml:space="preserve"> </w:t>
      </w:r>
      <w:r>
        <w:rPr>
          <w:lang w:val="es"/>
        </w:rPr>
        <w:t>no es responsable si el marco se pierde en el correo o en el laboratorio.</w:t>
      </w:r>
      <w:r w:rsidR="00535FD2">
        <w:rPr>
          <w:lang w:val="es"/>
        </w:rPr>
        <w:br/>
      </w:r>
    </w:p>
    <w:p w14:paraId="4178F700" w14:textId="77777777" w:rsidR="008D296C" w:rsidRPr="008D296C" w:rsidRDefault="00535FD2" w:rsidP="00535FD2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535FD2">
        <w:rPr>
          <w:b/>
          <w:lang w:val="es"/>
        </w:rPr>
        <w:t xml:space="preserve">Citas perdidas </w:t>
      </w:r>
    </w:p>
    <w:p w14:paraId="3B238519" w14:textId="4B4C4C2C" w:rsidR="00535FD2" w:rsidRPr="008D296C" w:rsidRDefault="008D296C" w:rsidP="008D296C">
      <w:pPr>
        <w:ind w:left="360"/>
        <w:rPr>
          <w:rFonts w:cstheme="minorHAnsi"/>
          <w:b/>
        </w:rPr>
      </w:pPr>
      <w:r w:rsidRPr="008D296C">
        <w:rPr>
          <w:lang w:val="es"/>
        </w:rPr>
        <w:t>E</w:t>
      </w:r>
      <w:r w:rsidR="00535FD2" w:rsidRPr="008D296C">
        <w:rPr>
          <w:lang w:val="es"/>
        </w:rPr>
        <w:t>ntendemos que hay momentos en los que debe perderse una cita debido a emergencias u obligación por trabajo</w:t>
      </w:r>
      <w:r>
        <w:rPr>
          <w:b/>
          <w:lang w:val="es"/>
        </w:rPr>
        <w:t xml:space="preserve"> o</w:t>
      </w:r>
      <w:r w:rsidR="00535FD2" w:rsidRPr="008D296C">
        <w:rPr>
          <w:b/>
          <w:lang w:val="es"/>
        </w:rPr>
        <w:t xml:space="preserve"> </w:t>
      </w:r>
      <w:r w:rsidR="004E0B2F" w:rsidRPr="008D296C">
        <w:rPr>
          <w:lang w:val="es"/>
        </w:rPr>
        <w:t>familia</w:t>
      </w:r>
      <w:r w:rsidR="00535FD2" w:rsidRPr="008D296C">
        <w:rPr>
          <w:lang w:val="es"/>
        </w:rPr>
        <w:t xml:space="preserve">.  Sin embargo, cuando usted no llama para cancelar una cita, usted puede estar impidiendo que otro paciente tenga un tratamiento muy necesario.  Por favor, sea </w:t>
      </w:r>
      <w:r>
        <w:rPr>
          <w:lang w:val="es"/>
        </w:rPr>
        <w:t>c</w:t>
      </w:r>
      <w:r w:rsidR="00535FD2" w:rsidRPr="008D296C">
        <w:rPr>
          <w:lang w:val="es"/>
        </w:rPr>
        <w:t xml:space="preserve">ortés y llame a </w:t>
      </w:r>
      <w:r w:rsidR="007139D4" w:rsidRPr="007139D4">
        <w:rPr>
          <w:szCs w:val="24"/>
          <w:lang w:val="es-ES"/>
        </w:rPr>
        <w:t>Blink Vision Center</w:t>
      </w:r>
      <w:r w:rsidR="007139D4" w:rsidRPr="007139D4">
        <w:rPr>
          <w:szCs w:val="24"/>
          <w:lang w:val="es-ES"/>
        </w:rPr>
        <w:t xml:space="preserve"> </w:t>
      </w:r>
      <w:r w:rsidR="00535FD2" w:rsidRPr="008D296C">
        <w:rPr>
          <w:lang w:val="es"/>
        </w:rPr>
        <w:t>de inmediato si no puede presentar</w:t>
      </w:r>
      <w:r>
        <w:rPr>
          <w:lang w:val="es"/>
        </w:rPr>
        <w:t>se a</w:t>
      </w:r>
      <w:r w:rsidR="00535FD2" w:rsidRPr="008D296C">
        <w:rPr>
          <w:lang w:val="es"/>
        </w:rPr>
        <w:t xml:space="preserve"> una cita.  Todas las citas confirmadas </w:t>
      </w:r>
      <w:r>
        <w:rPr>
          <w:lang w:val="es"/>
        </w:rPr>
        <w:t>a las cuales no allá acudido</w:t>
      </w:r>
      <w:r w:rsidR="001E0C52" w:rsidRPr="008D296C">
        <w:rPr>
          <w:lang w:val="es"/>
        </w:rPr>
        <w:t xml:space="preserve"> tendrán </w:t>
      </w:r>
      <w:r w:rsidR="00535FD2" w:rsidRPr="008D296C">
        <w:rPr>
          <w:lang w:val="es"/>
        </w:rPr>
        <w:t>un cargo de $25</w:t>
      </w:r>
      <w:r>
        <w:rPr>
          <w:lang w:val="es"/>
        </w:rPr>
        <w:t>.</w:t>
      </w:r>
      <w:r w:rsidR="00535FD2" w:rsidRPr="008D296C">
        <w:rPr>
          <w:lang w:val="es"/>
        </w:rPr>
        <w:t>00 por</w:t>
      </w:r>
      <w:r>
        <w:rPr>
          <w:lang w:val="es"/>
        </w:rPr>
        <w:t xml:space="preserve"> </w:t>
      </w:r>
      <w:r w:rsidR="00535FD2" w:rsidRPr="008D296C">
        <w:rPr>
          <w:lang w:val="es"/>
        </w:rPr>
        <w:t xml:space="preserve">cita.  </w:t>
      </w:r>
    </w:p>
    <w:p w14:paraId="3A433EAA" w14:textId="1A636D0C" w:rsidR="00535FD2" w:rsidRDefault="00050464" w:rsidP="00535FD2">
      <w:pPr>
        <w:rPr>
          <w:rFonts w:cstheme="minorHAnsi"/>
          <w:b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4FF82" wp14:editId="37456B62">
                <wp:simplePos x="0" y="0"/>
                <wp:positionH relativeFrom="margin">
                  <wp:posOffset>295275</wp:posOffset>
                </wp:positionH>
                <wp:positionV relativeFrom="paragraph">
                  <wp:posOffset>-1270</wp:posOffset>
                </wp:positionV>
                <wp:extent cx="6229350" cy="647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A40AE4" w14:textId="2A342B38" w:rsidR="00050464" w:rsidRDefault="00050464" w:rsidP="00050464">
                            <w:r w:rsidRPr="00050464">
                              <w:rPr>
                                <w:b/>
                                <w:lang w:val="es"/>
                              </w:rPr>
                              <w:t>ADVERTENCIA de anteojos</w:t>
                            </w:r>
                            <w:r>
                              <w:rPr>
                                <w:lang w:val="es"/>
                              </w:rPr>
                              <w:t xml:space="preserve">: </w:t>
                            </w:r>
                            <w:r w:rsidR="008D296C">
                              <w:rPr>
                                <w:lang w:val="es"/>
                              </w:rPr>
                              <w:t>el</w:t>
                            </w:r>
                            <w:r>
                              <w:rPr>
                                <w:lang w:val="es"/>
                              </w:rPr>
                              <w:t xml:space="preserve"> lente de plástico y vidrio estándar pueden romperse en situaciones de alto impacto y pueden causar daños en la cara o</w:t>
                            </w:r>
                            <w:r w:rsidR="008D296C">
                              <w:rPr>
                                <w:lang w:val="es"/>
                              </w:rPr>
                              <w:t xml:space="preserve"> a</w:t>
                            </w:r>
                            <w:r>
                              <w:rPr>
                                <w:lang w:val="es"/>
                              </w:rPr>
                              <w:t xml:space="preserve"> los ojos.  Siempre recomendamos lentes resistentes al impacto como el policarbonato o el </w:t>
                            </w:r>
                            <w:r w:rsidR="008D296C">
                              <w:rPr>
                                <w:lang w:val="es"/>
                              </w:rPr>
                              <w:t>t</w:t>
                            </w:r>
                            <w:r>
                              <w:rPr>
                                <w:lang w:val="es"/>
                              </w:rPr>
                              <w:t>rivex.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4FF8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.25pt;margin-top:-.1pt;width:490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" fillcolor="window" strokeweight=".5pt">
                <v:textbox>
                  <w:txbxContent>
                    <w:p w14:paraId="05A40AE4" w14:textId="2A342B38" w:rsidR="00050464" w:rsidRDefault="00050464" w:rsidP="00050464">
                      <w:r w:rsidRPr="00050464">
                        <w:rPr>
                          <w:b/>
                          <w:lang w:val="es"/>
                        </w:rPr>
                        <w:t>ADVERTENCIA de anteojos</w:t>
                      </w:r>
                      <w:r>
                        <w:rPr>
                          <w:lang w:val="es"/>
                        </w:rPr>
                        <w:t xml:space="preserve">: </w:t>
                      </w:r>
                      <w:r w:rsidR="008D296C">
                        <w:rPr>
                          <w:lang w:val="es"/>
                        </w:rPr>
                        <w:t>el</w:t>
                      </w:r>
                      <w:r>
                        <w:rPr>
                          <w:lang w:val="es"/>
                        </w:rPr>
                        <w:t xml:space="preserve"> lente de plástico y vidrio estándar pueden romperse en situaciones de alto impacto y pueden causar daños en la cara o</w:t>
                      </w:r>
                      <w:r w:rsidR="008D296C">
                        <w:rPr>
                          <w:lang w:val="es"/>
                        </w:rPr>
                        <w:t xml:space="preserve"> a</w:t>
                      </w:r>
                      <w:r>
                        <w:rPr>
                          <w:lang w:val="es"/>
                        </w:rPr>
                        <w:t xml:space="preserve"> los ojos.  Siempre recomendamos lentes resistentes al impacto como el policarbonato o el </w:t>
                      </w:r>
                      <w:proofErr w:type="spellStart"/>
                      <w:r w:rsidR="008D296C">
                        <w:rPr>
                          <w:lang w:val="es"/>
                        </w:rPr>
                        <w:t>t</w:t>
                      </w:r>
                      <w:r>
                        <w:rPr>
                          <w:lang w:val="es"/>
                        </w:rPr>
                        <w:t>rivex</w:t>
                      </w:r>
                      <w:proofErr w:type="spellEnd"/>
                      <w:r>
                        <w:rPr>
                          <w:lang w:val="e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4F7FA6" w14:textId="77777777" w:rsidR="00050464" w:rsidRDefault="00050464" w:rsidP="00D0437D">
      <w:pPr>
        <w:ind w:left="360"/>
        <w:rPr>
          <w:rFonts w:cstheme="minorHAnsi"/>
          <w:b/>
        </w:rPr>
      </w:pPr>
    </w:p>
    <w:p w14:paraId="5DAD9054" w14:textId="77777777" w:rsidR="00050464" w:rsidRDefault="00050464" w:rsidP="00D0437D">
      <w:pPr>
        <w:ind w:left="360"/>
        <w:rPr>
          <w:rFonts w:cstheme="minorHAnsi"/>
          <w:b/>
        </w:rPr>
      </w:pPr>
    </w:p>
    <w:p w14:paraId="5D48B54E" w14:textId="77777777" w:rsidR="00050464" w:rsidRDefault="00050464" w:rsidP="00D0437D">
      <w:pPr>
        <w:ind w:left="360"/>
        <w:rPr>
          <w:rFonts w:cstheme="minorHAnsi"/>
          <w:b/>
        </w:rPr>
      </w:pPr>
    </w:p>
    <w:p w14:paraId="44E29054" w14:textId="03C357E9" w:rsidR="00D0437D" w:rsidRDefault="00D0437D" w:rsidP="00D0437D">
      <w:pPr>
        <w:ind w:left="360"/>
        <w:rPr>
          <w:b/>
          <w:lang w:val="es"/>
        </w:rPr>
      </w:pPr>
      <w:r>
        <w:rPr>
          <w:b/>
          <w:lang w:val="es"/>
        </w:rPr>
        <w:t>He leído y comprend</w:t>
      </w:r>
      <w:r w:rsidR="008D296C">
        <w:rPr>
          <w:b/>
          <w:lang w:val="es"/>
        </w:rPr>
        <w:t>ido</w:t>
      </w:r>
      <w:r>
        <w:rPr>
          <w:b/>
          <w:lang w:val="es"/>
        </w:rPr>
        <w:t xml:space="preserve"> toda la polí</w:t>
      </w:r>
      <w:r w:rsidR="008D296C">
        <w:rPr>
          <w:b/>
          <w:lang w:val="es"/>
        </w:rPr>
        <w:t>za</w:t>
      </w:r>
      <w:r>
        <w:rPr>
          <w:b/>
          <w:lang w:val="es"/>
        </w:rPr>
        <w:t xml:space="preserve"> </w:t>
      </w:r>
      <w:r w:rsidR="008D296C" w:rsidRPr="007139D4">
        <w:rPr>
          <w:b/>
          <w:lang w:val="es"/>
        </w:rPr>
        <w:t xml:space="preserve">de </w:t>
      </w:r>
      <w:r w:rsidR="007139D4" w:rsidRPr="007139D4">
        <w:rPr>
          <w:b/>
          <w:lang w:val="es-ES"/>
        </w:rPr>
        <w:t>Blink Vision Center</w:t>
      </w:r>
      <w:r w:rsidR="007139D4">
        <w:rPr>
          <w:sz w:val="24"/>
          <w:szCs w:val="24"/>
          <w:lang w:val="es-ES"/>
        </w:rPr>
        <w:t xml:space="preserve"> </w:t>
      </w:r>
      <w:r>
        <w:rPr>
          <w:b/>
          <w:lang w:val="es"/>
        </w:rPr>
        <w:t xml:space="preserve">como se indicó anteriormente y acepto sus términos.  También acepto que estos términos pueden ser modificados </w:t>
      </w:r>
      <w:r w:rsidR="007139D4">
        <w:rPr>
          <w:b/>
          <w:lang w:val="es"/>
        </w:rPr>
        <w:t>a</w:t>
      </w:r>
      <w:r>
        <w:rPr>
          <w:b/>
          <w:lang w:val="es"/>
        </w:rPr>
        <w:t xml:space="preserve"> </w:t>
      </w:r>
      <w:r w:rsidR="007139D4" w:rsidRPr="007139D4">
        <w:rPr>
          <w:b/>
          <w:szCs w:val="24"/>
          <w:lang w:val="es-ES"/>
        </w:rPr>
        <w:t>Blink Vision Center</w:t>
      </w:r>
      <w:r w:rsidR="007139D4" w:rsidRPr="007139D4">
        <w:rPr>
          <w:szCs w:val="24"/>
          <w:lang w:val="es-ES"/>
        </w:rPr>
        <w:t xml:space="preserve"> </w:t>
      </w:r>
      <w:r>
        <w:rPr>
          <w:b/>
          <w:lang w:val="es"/>
        </w:rPr>
        <w:t>en cualquier momento.</w:t>
      </w:r>
    </w:p>
    <w:p w14:paraId="5AB6EEF4" w14:textId="77777777" w:rsidR="008D296C" w:rsidRDefault="008D296C" w:rsidP="00D0437D">
      <w:pPr>
        <w:ind w:left="360"/>
        <w:rPr>
          <w:rFonts w:cstheme="minorHAnsi"/>
          <w:b/>
        </w:rPr>
      </w:pPr>
    </w:p>
    <w:p w14:paraId="21DFD061" w14:textId="77777777" w:rsidR="008D296C" w:rsidRDefault="008D296C" w:rsidP="00693654">
      <w:pPr>
        <w:ind w:left="360"/>
        <w:rPr>
          <w:b/>
          <w:lang w:val="es"/>
        </w:rPr>
      </w:pPr>
      <w:r>
        <w:rPr>
          <w:b/>
          <w:lang w:val="es"/>
        </w:rPr>
        <w:t>_________________________________________________</w:t>
      </w:r>
      <w:r>
        <w:rPr>
          <w:b/>
          <w:lang w:val="es"/>
        </w:rPr>
        <w:tab/>
      </w:r>
      <w:r>
        <w:rPr>
          <w:b/>
          <w:lang w:val="es"/>
        </w:rPr>
        <w:tab/>
      </w:r>
      <w:r>
        <w:rPr>
          <w:b/>
          <w:lang w:val="es"/>
        </w:rPr>
        <w:tab/>
        <w:t>______________________________</w:t>
      </w:r>
    </w:p>
    <w:p w14:paraId="138AC7B3" w14:textId="77777777" w:rsidR="008D296C" w:rsidRDefault="008D296C" w:rsidP="00693654">
      <w:pPr>
        <w:ind w:left="360"/>
        <w:rPr>
          <w:b/>
          <w:lang w:val="es"/>
        </w:rPr>
      </w:pPr>
      <w:r>
        <w:rPr>
          <w:b/>
          <w:lang w:val="es"/>
        </w:rPr>
        <w:t>Firma</w:t>
      </w:r>
      <w:r>
        <w:rPr>
          <w:b/>
          <w:lang w:val="es"/>
        </w:rPr>
        <w:tab/>
      </w:r>
      <w:r>
        <w:rPr>
          <w:b/>
          <w:lang w:val="es"/>
        </w:rPr>
        <w:tab/>
      </w:r>
      <w:r>
        <w:rPr>
          <w:b/>
          <w:lang w:val="es"/>
        </w:rPr>
        <w:tab/>
      </w:r>
      <w:r>
        <w:rPr>
          <w:b/>
          <w:lang w:val="es"/>
        </w:rPr>
        <w:tab/>
      </w:r>
      <w:r>
        <w:rPr>
          <w:b/>
          <w:lang w:val="es"/>
        </w:rPr>
        <w:tab/>
      </w:r>
      <w:r>
        <w:rPr>
          <w:b/>
          <w:lang w:val="es"/>
        </w:rPr>
        <w:tab/>
      </w:r>
      <w:r>
        <w:rPr>
          <w:b/>
          <w:lang w:val="es"/>
        </w:rPr>
        <w:tab/>
      </w:r>
      <w:r>
        <w:rPr>
          <w:b/>
          <w:lang w:val="es"/>
        </w:rPr>
        <w:tab/>
      </w:r>
      <w:r>
        <w:rPr>
          <w:b/>
          <w:lang w:val="es"/>
        </w:rPr>
        <w:tab/>
        <w:t>Fecha</w:t>
      </w:r>
    </w:p>
    <w:p w14:paraId="2BB700DF" w14:textId="470F073F" w:rsidR="00693654" w:rsidRDefault="00693654" w:rsidP="00693654">
      <w:pPr>
        <w:ind w:left="360"/>
        <w:rPr>
          <w:rFonts w:cstheme="minorHAnsi"/>
          <w:b/>
        </w:rPr>
      </w:pPr>
      <w:r>
        <w:rPr>
          <w:b/>
          <w:lang w:val="es"/>
        </w:rPr>
        <w:br/>
      </w:r>
      <w:r w:rsidRPr="00693654">
        <w:rPr>
          <w:lang w:val="es"/>
        </w:rPr>
        <w:t xml:space="preserve"> Nombre(s)</w:t>
      </w:r>
      <w:r w:rsidR="008D296C">
        <w:rPr>
          <w:lang w:val="es"/>
        </w:rPr>
        <w:t xml:space="preserve"> de los familiares inmediatos que acuden a esta clínica</w:t>
      </w:r>
      <w:r w:rsidRPr="00693654">
        <w:rPr>
          <w:lang w:val="es"/>
        </w:rPr>
        <w:t>:</w:t>
      </w:r>
      <w:r>
        <w:rPr>
          <w:b/>
          <w:lang w:val="es"/>
        </w:rPr>
        <w:br/>
      </w:r>
      <w:r>
        <w:rPr>
          <w:b/>
          <w:lang w:val="es"/>
        </w:rPr>
        <w:br/>
      </w:r>
    </w:p>
    <w:p w14:paraId="29D8B115" w14:textId="5F0406C9" w:rsidR="00693654" w:rsidRDefault="00693654" w:rsidP="00693654">
      <w:pPr>
        <w:ind w:left="360"/>
        <w:rPr>
          <w:rFonts w:cstheme="minorHAnsi"/>
          <w:b/>
        </w:rPr>
      </w:pPr>
      <w:r>
        <w:rPr>
          <w:b/>
          <w:lang w:val="es"/>
        </w:rPr>
        <w:t>______________________________</w:t>
      </w:r>
      <w:r>
        <w:rPr>
          <w:b/>
          <w:lang w:val="es"/>
        </w:rPr>
        <w:tab/>
        <w:t>______________________________</w:t>
      </w:r>
    </w:p>
    <w:p w14:paraId="1BF946CD" w14:textId="7565C0F4" w:rsidR="00FC5256" w:rsidRPr="0015327B" w:rsidRDefault="00693654" w:rsidP="0015327B">
      <w:pPr>
        <w:ind w:left="360"/>
        <w:rPr>
          <w:rFonts w:cstheme="minorHAnsi"/>
          <w:b/>
        </w:rPr>
      </w:pPr>
      <w:r>
        <w:rPr>
          <w:b/>
          <w:lang w:val="es"/>
        </w:rPr>
        <w:br/>
        <w:t>______________________________</w:t>
      </w:r>
      <w:r>
        <w:rPr>
          <w:b/>
          <w:lang w:val="es"/>
        </w:rPr>
        <w:tab/>
        <w:t>_____________________________</w:t>
      </w:r>
      <w:r w:rsidR="0015327B">
        <w:rPr>
          <w:b/>
          <w:lang w:val="es"/>
        </w:rPr>
        <w:t>_</w:t>
      </w:r>
    </w:p>
    <w:sectPr w:rsidR="00FC5256" w:rsidRPr="0015327B" w:rsidSect="000504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5121A"/>
    <w:multiLevelType w:val="hybridMultilevel"/>
    <w:tmpl w:val="504850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69"/>
    <w:rsid w:val="00050464"/>
    <w:rsid w:val="00062378"/>
    <w:rsid w:val="001121DB"/>
    <w:rsid w:val="0015327B"/>
    <w:rsid w:val="001E0C52"/>
    <w:rsid w:val="0024591F"/>
    <w:rsid w:val="00363F99"/>
    <w:rsid w:val="003A25DF"/>
    <w:rsid w:val="004941FD"/>
    <w:rsid w:val="004C3D3C"/>
    <w:rsid w:val="004E0B2F"/>
    <w:rsid w:val="004E0DA0"/>
    <w:rsid w:val="00535FD2"/>
    <w:rsid w:val="00604CE4"/>
    <w:rsid w:val="00693654"/>
    <w:rsid w:val="006F1E97"/>
    <w:rsid w:val="0070699F"/>
    <w:rsid w:val="007139D4"/>
    <w:rsid w:val="008D296C"/>
    <w:rsid w:val="009C6435"/>
    <w:rsid w:val="009E6F43"/>
    <w:rsid w:val="00A24C00"/>
    <w:rsid w:val="00C80B33"/>
    <w:rsid w:val="00D0437D"/>
    <w:rsid w:val="00E3575C"/>
    <w:rsid w:val="00E87848"/>
    <w:rsid w:val="00F20569"/>
    <w:rsid w:val="00FC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DB9B3"/>
  <w15:chartTrackingRefBased/>
  <w15:docId w15:val="{9750246D-4D9C-417B-BF88-8DD9CEE5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5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E6F4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D29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</dc:creator>
  <cp:keywords/>
  <dc:description/>
  <cp:lastModifiedBy>Lindsey Alexander</cp:lastModifiedBy>
  <cp:revision>5</cp:revision>
  <cp:lastPrinted>2019-05-08T23:20:00Z</cp:lastPrinted>
  <dcterms:created xsi:type="dcterms:W3CDTF">2019-05-09T14:22:00Z</dcterms:created>
  <dcterms:modified xsi:type="dcterms:W3CDTF">2019-05-09T19:52:00Z</dcterms:modified>
</cp:coreProperties>
</file>